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F2" w:rsidRPr="000E44E0" w:rsidRDefault="00523AF2" w:rsidP="00523AF2">
      <w:pPr>
        <w:rPr>
          <w:rFonts w:asciiTheme="majorEastAsia" w:eastAsiaTheme="majorEastAsia" w:hAnsiTheme="majorEastAsia"/>
          <w:b/>
          <w:color w:val="000000" w:themeColor="text1"/>
        </w:rPr>
      </w:pPr>
      <w:r w:rsidRPr="000E44E0">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59264" behindDoc="0" locked="0" layoutInCell="1" allowOverlap="1" wp14:anchorId="5D8DCA6E" wp14:editId="239BD194">
                <wp:simplePos x="0" y="0"/>
                <wp:positionH relativeFrom="column">
                  <wp:posOffset>2613025</wp:posOffset>
                </wp:positionH>
                <wp:positionV relativeFrom="paragraph">
                  <wp:posOffset>-80645</wp:posOffset>
                </wp:positionV>
                <wp:extent cx="2809875" cy="507413"/>
                <wp:effectExtent l="0" t="0" r="9525" b="6985"/>
                <wp:wrapNone/>
                <wp:docPr id="1" name="テキスト ボックス 1"/>
                <wp:cNvGraphicFramePr/>
                <a:graphic xmlns:a="http://schemas.openxmlformats.org/drawingml/2006/main">
                  <a:graphicData uri="http://schemas.microsoft.com/office/word/2010/wordprocessingShape">
                    <wps:wsp>
                      <wps:cNvSpPr txBox="1"/>
                      <wps:spPr>
                        <a:xfrm>
                          <a:off x="0" y="0"/>
                          <a:ext cx="2809875" cy="5074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3AF2" w:rsidRPr="00523AF2" w:rsidRDefault="00523AF2">
                            <w:pPr>
                              <w:rPr>
                                <w:rFonts w:asciiTheme="majorEastAsia" w:eastAsiaTheme="majorEastAsia" w:hAnsiTheme="majorEastAsia"/>
                                <w:b/>
                                <w:sz w:val="28"/>
                              </w:rPr>
                            </w:pPr>
                            <w:r w:rsidRPr="00CB5378">
                              <w:rPr>
                                <w:rFonts w:asciiTheme="majorEastAsia" w:eastAsiaTheme="majorEastAsia" w:hAnsiTheme="majorEastAsia" w:hint="eastAsia"/>
                                <w:b/>
                                <w:sz w:val="40"/>
                              </w:rPr>
                              <w:t>教科書調査研究の観点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DCA6E" id="_x0000_t202" coordsize="21600,21600" o:spt="202" path="m,l,21600r21600,l21600,xe">
                <v:stroke joinstyle="miter"/>
                <v:path gradientshapeok="t" o:connecttype="rect"/>
              </v:shapetype>
              <v:shape id="テキスト ボックス 1" o:spid="_x0000_s1026" type="#_x0000_t202" style="position:absolute;left:0;text-align:left;margin-left:205.75pt;margin-top:-6.35pt;width:221.25pt;height:3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" fillcolor="white [3201]" stroked="f" strokeweight=".5pt">
                <v:textbox>
                  <w:txbxContent>
                    <w:p w:rsidR="00523AF2" w:rsidRPr="00523AF2" w:rsidRDefault="00523AF2">
                      <w:pPr>
                        <w:rPr>
                          <w:rFonts w:asciiTheme="majorEastAsia" w:eastAsiaTheme="majorEastAsia" w:hAnsiTheme="majorEastAsia"/>
                          <w:b/>
                          <w:sz w:val="28"/>
                        </w:rPr>
                      </w:pPr>
                      <w:r w:rsidRPr="00CB5378">
                        <w:rPr>
                          <w:rFonts w:asciiTheme="majorEastAsia" w:eastAsiaTheme="majorEastAsia" w:hAnsiTheme="majorEastAsia" w:hint="eastAsia"/>
                          <w:b/>
                          <w:sz w:val="40"/>
                        </w:rPr>
                        <w:t>教科書調査研究の観点</w:t>
                      </w:r>
                    </w:p>
                  </w:txbxContent>
                </v:textbox>
              </v:shape>
            </w:pict>
          </mc:Fallback>
        </mc:AlternateContent>
      </w:r>
      <w:r w:rsidRPr="000E44E0">
        <w:rPr>
          <w:rFonts w:asciiTheme="majorEastAsia" w:eastAsiaTheme="majorEastAsia" w:hAnsiTheme="majorEastAsia" w:hint="eastAsia"/>
          <w:b/>
          <w:color w:val="000000" w:themeColor="text1"/>
        </w:rPr>
        <w:t>平成2</w:t>
      </w:r>
      <w:r w:rsidR="005D3137" w:rsidRPr="000E44E0">
        <w:rPr>
          <w:rFonts w:asciiTheme="majorEastAsia" w:eastAsiaTheme="majorEastAsia" w:hAnsiTheme="majorEastAsia" w:hint="eastAsia"/>
          <w:b/>
          <w:color w:val="000000" w:themeColor="text1"/>
        </w:rPr>
        <w:t>9</w:t>
      </w:r>
      <w:r w:rsidRPr="000E44E0">
        <w:rPr>
          <w:rFonts w:asciiTheme="majorEastAsia" w:eastAsiaTheme="majorEastAsia" w:hAnsiTheme="majorEastAsia" w:hint="eastAsia"/>
          <w:b/>
          <w:color w:val="000000" w:themeColor="text1"/>
        </w:rPr>
        <w:t xml:space="preserve"> 年度用 高等学校</w:t>
      </w:r>
    </w:p>
    <w:p w:rsidR="00392CEF" w:rsidRPr="000E44E0" w:rsidRDefault="00523AF2" w:rsidP="00523AF2">
      <w:pPr>
        <w:rPr>
          <w:rFonts w:asciiTheme="majorEastAsia" w:eastAsiaTheme="majorEastAsia" w:hAnsiTheme="majorEastAsia"/>
          <w:b/>
          <w:color w:val="000000" w:themeColor="text1"/>
        </w:rPr>
      </w:pPr>
      <w:r w:rsidRPr="000E44E0">
        <w:rPr>
          <w:rFonts w:asciiTheme="majorEastAsia" w:eastAsiaTheme="majorEastAsia" w:hAnsiTheme="majorEastAsia" w:hint="eastAsia"/>
          <w:b/>
          <w:color w:val="000000" w:themeColor="text1"/>
        </w:rPr>
        <w:t>家庭科</w:t>
      </w:r>
    </w:p>
    <w:tbl>
      <w:tblPr>
        <w:tblStyle w:val="a3"/>
        <w:tblW w:w="12866" w:type="dxa"/>
        <w:tblLook w:val="04A0" w:firstRow="1" w:lastRow="0" w:firstColumn="1" w:lastColumn="0" w:noHBand="0" w:noVBand="1"/>
      </w:tblPr>
      <w:tblGrid>
        <w:gridCol w:w="1947"/>
        <w:gridCol w:w="8538"/>
        <w:gridCol w:w="2381"/>
      </w:tblGrid>
      <w:tr w:rsidR="000E44E0" w:rsidRPr="000E44E0" w:rsidTr="008155EA">
        <w:trPr>
          <w:trHeight w:val="300"/>
        </w:trPr>
        <w:tc>
          <w:tcPr>
            <w:tcW w:w="1947" w:type="dxa"/>
            <w:shd w:val="clear" w:color="auto" w:fill="D9D9D9" w:themeFill="background1" w:themeFillShade="D9"/>
          </w:tcPr>
          <w:p w:rsidR="00523AF2" w:rsidRPr="000E44E0" w:rsidRDefault="00523AF2" w:rsidP="00523AF2">
            <w:pPr>
              <w:rPr>
                <w:rFonts w:asciiTheme="majorEastAsia" w:eastAsiaTheme="majorEastAsia" w:hAnsiTheme="majorEastAsia"/>
                <w:color w:val="000000" w:themeColor="text1"/>
                <w:sz w:val="18"/>
              </w:rPr>
            </w:pPr>
            <w:r w:rsidRPr="000E44E0">
              <w:rPr>
                <w:rFonts w:asciiTheme="majorEastAsia" w:eastAsiaTheme="majorEastAsia" w:hAnsiTheme="majorEastAsia" w:hint="eastAsia"/>
                <w:color w:val="000000" w:themeColor="text1"/>
                <w:sz w:val="18"/>
              </w:rPr>
              <w:t>発行者番号・略号</w:t>
            </w:r>
          </w:p>
        </w:tc>
        <w:tc>
          <w:tcPr>
            <w:tcW w:w="8538" w:type="dxa"/>
            <w:shd w:val="clear" w:color="auto" w:fill="D9D9D9" w:themeFill="background1" w:themeFillShade="D9"/>
          </w:tcPr>
          <w:p w:rsidR="00523AF2" w:rsidRPr="000E44E0" w:rsidRDefault="00523AF2" w:rsidP="00523AF2">
            <w:pPr>
              <w:rPr>
                <w:rFonts w:asciiTheme="majorEastAsia" w:eastAsiaTheme="majorEastAsia" w:hAnsiTheme="majorEastAsia"/>
                <w:color w:val="000000" w:themeColor="text1"/>
                <w:sz w:val="18"/>
              </w:rPr>
            </w:pPr>
            <w:r w:rsidRPr="000E44E0">
              <w:rPr>
                <w:rFonts w:asciiTheme="majorEastAsia" w:eastAsiaTheme="majorEastAsia" w:hAnsiTheme="majorEastAsia" w:hint="eastAsia"/>
                <w:color w:val="000000" w:themeColor="text1"/>
                <w:sz w:val="18"/>
              </w:rPr>
              <w:t>教科書名</w:t>
            </w:r>
          </w:p>
        </w:tc>
        <w:tc>
          <w:tcPr>
            <w:tcW w:w="2381" w:type="dxa"/>
            <w:shd w:val="clear" w:color="auto" w:fill="D9D9D9" w:themeFill="background1" w:themeFillShade="D9"/>
          </w:tcPr>
          <w:p w:rsidR="00523AF2" w:rsidRPr="000E44E0" w:rsidRDefault="00523AF2" w:rsidP="00523AF2">
            <w:pPr>
              <w:jc w:val="center"/>
              <w:rPr>
                <w:rFonts w:asciiTheme="majorEastAsia" w:eastAsiaTheme="majorEastAsia" w:hAnsiTheme="majorEastAsia"/>
                <w:color w:val="000000" w:themeColor="text1"/>
                <w:sz w:val="18"/>
              </w:rPr>
            </w:pPr>
            <w:r w:rsidRPr="000E44E0">
              <w:rPr>
                <w:rFonts w:asciiTheme="majorEastAsia" w:eastAsiaTheme="majorEastAsia" w:hAnsiTheme="majorEastAsia" w:hint="eastAsia"/>
                <w:color w:val="000000" w:themeColor="text1"/>
                <w:sz w:val="18"/>
              </w:rPr>
              <w:t>記号・番号</w:t>
            </w:r>
          </w:p>
        </w:tc>
      </w:tr>
      <w:tr w:rsidR="00523AF2" w:rsidRPr="000E44E0" w:rsidTr="008155EA">
        <w:trPr>
          <w:trHeight w:val="743"/>
        </w:trPr>
        <w:tc>
          <w:tcPr>
            <w:tcW w:w="1947" w:type="dxa"/>
          </w:tcPr>
          <w:p w:rsidR="00523AF2" w:rsidRPr="000E44E0" w:rsidRDefault="001856A2" w:rsidP="001856A2">
            <w:pPr>
              <w:jc w:val="center"/>
              <w:rPr>
                <w:rFonts w:asciiTheme="minorEastAsia" w:hAnsiTheme="minorEastAsia"/>
                <w:color w:val="000000" w:themeColor="text1"/>
              </w:rPr>
            </w:pPr>
            <w:r w:rsidRPr="000E44E0">
              <w:rPr>
                <w:rFonts w:ascii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2BC3D8A8" wp14:editId="135B8039">
                      <wp:simplePos x="0" y="0"/>
                      <wp:positionH relativeFrom="column">
                        <wp:posOffset>69688</wp:posOffset>
                      </wp:positionH>
                      <wp:positionV relativeFrom="paragraph">
                        <wp:posOffset>194945</wp:posOffset>
                      </wp:positionV>
                      <wp:extent cx="9906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990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0141C" id="直線コネクタ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35pt" to="8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" strokecolor="black [3213]" strokeweight=".5pt">
                      <v:stroke joinstyle="miter"/>
                    </v:line>
                  </w:pict>
                </mc:Fallback>
              </mc:AlternateContent>
            </w:r>
            <w:r w:rsidR="00523AF2" w:rsidRPr="000E44E0">
              <w:rPr>
                <w:rFonts w:asciiTheme="minorEastAsia" w:hAnsiTheme="minorEastAsia" w:hint="eastAsia"/>
                <w:color w:val="000000" w:themeColor="text1"/>
              </w:rPr>
              <w:t>9</w:t>
            </w:r>
          </w:p>
          <w:p w:rsidR="00523AF2" w:rsidRPr="000E44E0" w:rsidRDefault="00523AF2" w:rsidP="00523AF2">
            <w:pPr>
              <w:jc w:val="center"/>
              <w:rPr>
                <w:rFonts w:asciiTheme="majorEastAsia" w:eastAsiaTheme="majorEastAsia" w:hAnsiTheme="majorEastAsia"/>
                <w:b/>
                <w:color w:val="000000" w:themeColor="text1"/>
              </w:rPr>
            </w:pPr>
            <w:r w:rsidRPr="000E44E0">
              <w:rPr>
                <w:rFonts w:asciiTheme="minorEastAsia" w:hAnsiTheme="minorEastAsia" w:hint="eastAsia"/>
                <w:color w:val="000000" w:themeColor="text1"/>
              </w:rPr>
              <w:t>開隆堂</w:t>
            </w:r>
          </w:p>
        </w:tc>
        <w:tc>
          <w:tcPr>
            <w:tcW w:w="8538" w:type="dxa"/>
          </w:tcPr>
          <w:p w:rsidR="00523AF2" w:rsidRPr="000E44E0" w:rsidRDefault="00523AF2" w:rsidP="008155EA">
            <w:pPr>
              <w:jc w:val="center"/>
              <w:rPr>
                <w:rFonts w:asciiTheme="majorEastAsia" w:eastAsiaTheme="majorEastAsia" w:hAnsiTheme="majorEastAsia"/>
                <w:b/>
                <w:color w:val="000000" w:themeColor="text1"/>
              </w:rPr>
            </w:pPr>
            <w:r w:rsidRPr="000E44E0">
              <w:rPr>
                <w:rFonts w:asciiTheme="majorEastAsia" w:eastAsiaTheme="majorEastAsia" w:hAnsiTheme="majorEastAsia" w:hint="eastAsia"/>
                <w:b/>
                <w:color w:val="000000" w:themeColor="text1"/>
                <w:sz w:val="28"/>
              </w:rPr>
              <w:t>家庭基礎</w:t>
            </w:r>
            <w:r w:rsidRPr="000E44E0">
              <w:rPr>
                <w:rFonts w:asciiTheme="majorEastAsia" w:eastAsiaTheme="majorEastAsia" w:hAnsiTheme="majorEastAsia" w:hint="eastAsia"/>
                <w:b/>
                <w:color w:val="000000" w:themeColor="text1"/>
              </w:rPr>
              <w:t xml:space="preserve"> </w:t>
            </w:r>
            <w:r w:rsidRPr="000E44E0">
              <w:rPr>
                <w:rFonts w:asciiTheme="majorEastAsia" w:eastAsiaTheme="majorEastAsia" w:hAnsiTheme="majorEastAsia" w:hint="eastAsia"/>
                <w:color w:val="000000" w:themeColor="text1"/>
                <w:sz w:val="18"/>
              </w:rPr>
              <w:t>明日の生活を築く</w:t>
            </w:r>
          </w:p>
        </w:tc>
        <w:tc>
          <w:tcPr>
            <w:tcW w:w="2381" w:type="dxa"/>
          </w:tcPr>
          <w:p w:rsidR="00523AF2" w:rsidRPr="000E44E0" w:rsidRDefault="00523AF2" w:rsidP="008155EA">
            <w:pPr>
              <w:spacing w:line="480" w:lineRule="auto"/>
              <w:jc w:val="center"/>
              <w:rPr>
                <w:rFonts w:asciiTheme="minorEastAsia" w:hAnsiTheme="minorEastAsia"/>
                <w:color w:val="000000" w:themeColor="text1"/>
              </w:rPr>
            </w:pPr>
            <w:r w:rsidRPr="000E44E0">
              <w:rPr>
                <w:rFonts w:asciiTheme="minorEastAsia" w:hAnsiTheme="minorEastAsia" w:hint="eastAsia"/>
                <w:color w:val="000000" w:themeColor="text1"/>
                <w:sz w:val="18"/>
              </w:rPr>
              <w:t>家基　317</w:t>
            </w:r>
          </w:p>
        </w:tc>
      </w:tr>
    </w:tbl>
    <w:p w:rsidR="00523AF2" w:rsidRPr="000E44E0" w:rsidRDefault="00523AF2" w:rsidP="001B17FE">
      <w:pPr>
        <w:spacing w:line="240" w:lineRule="exact"/>
        <w:rPr>
          <w:rFonts w:asciiTheme="majorEastAsia" w:eastAsiaTheme="majorEastAsia" w:hAnsiTheme="majorEastAsia"/>
          <w:b/>
          <w:color w:val="000000" w:themeColor="text1"/>
        </w:rPr>
      </w:pPr>
    </w:p>
    <w:tbl>
      <w:tblPr>
        <w:tblStyle w:val="a3"/>
        <w:tblW w:w="12866" w:type="dxa"/>
        <w:tblLayout w:type="fixed"/>
        <w:tblLook w:val="04A0" w:firstRow="1" w:lastRow="0" w:firstColumn="1" w:lastColumn="0" w:noHBand="0" w:noVBand="1"/>
      </w:tblPr>
      <w:tblGrid>
        <w:gridCol w:w="421"/>
        <w:gridCol w:w="1591"/>
        <w:gridCol w:w="10854"/>
      </w:tblGrid>
      <w:tr w:rsidR="000E44E0" w:rsidRPr="000E44E0" w:rsidTr="000E44E0">
        <w:trPr>
          <w:cantSplit/>
          <w:trHeight w:val="1134"/>
        </w:trPr>
        <w:tc>
          <w:tcPr>
            <w:tcW w:w="421" w:type="dxa"/>
            <w:vMerge w:val="restart"/>
            <w:shd w:val="clear" w:color="auto" w:fill="D9D9D9" w:themeFill="background1" w:themeFillShade="D9"/>
            <w:textDirection w:val="tbRlV"/>
            <w:vAlign w:val="center"/>
          </w:tcPr>
          <w:p w:rsidR="000E44E0" w:rsidRPr="00DE4754" w:rsidRDefault="000E44E0" w:rsidP="000E44E0">
            <w:pPr>
              <w:spacing w:line="240" w:lineRule="exact"/>
              <w:ind w:left="113" w:right="113"/>
              <w:rPr>
                <w:rFonts w:ascii="HGS創英角ｺﾞｼｯｸUB" w:eastAsia="HGS創英角ｺﾞｼｯｸUB" w:hAnsi="HGS創英角ｺﾞｼｯｸUB"/>
                <w:color w:val="000000" w:themeColor="text1"/>
                <w:sz w:val="18"/>
                <w:szCs w:val="18"/>
              </w:rPr>
            </w:pPr>
            <w:r>
              <w:rPr>
                <w:rFonts w:ascii="HGS創英角ｺﾞｼｯｸUB" w:eastAsia="HGS創英角ｺﾞｼｯｸUB" w:hAnsi="HGS創英角ｺﾞｼｯｸUB" w:hint="eastAsia"/>
                <w:color w:val="000000" w:themeColor="text1"/>
                <w:sz w:val="18"/>
                <w:szCs w:val="18"/>
              </w:rPr>
              <w:t xml:space="preserve">　　　　　　　　　　　　　　　　　</w:t>
            </w:r>
            <w:r w:rsidRPr="00DE4754">
              <w:rPr>
                <w:rFonts w:ascii="HGS創英角ｺﾞｼｯｸUB" w:eastAsia="HGS創英角ｺﾞｼｯｸUB" w:hAnsi="HGS創英角ｺﾞｼｯｸUB" w:hint="eastAsia"/>
                <w:color w:val="000000" w:themeColor="text1"/>
                <w:sz w:val="18"/>
                <w:szCs w:val="18"/>
              </w:rPr>
              <w:t>内容</w:t>
            </w:r>
          </w:p>
        </w:tc>
        <w:tc>
          <w:tcPr>
            <w:tcW w:w="1591" w:type="dxa"/>
            <w:shd w:val="clear" w:color="auto" w:fill="D9D9D9" w:themeFill="background1" w:themeFillShade="D9"/>
            <w:vAlign w:val="center"/>
          </w:tcPr>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学習指導要領との対応</w:t>
            </w:r>
          </w:p>
        </w:tc>
        <w:tc>
          <w:tcPr>
            <w:tcW w:w="10854" w:type="dxa"/>
            <w:tcMar>
              <w:top w:w="57" w:type="dxa"/>
              <w:bottom w:w="57" w:type="dxa"/>
            </w:tcMar>
          </w:tcPr>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学習指導要領の主旨を踏まえ，基礎･基本の知識や技術について，総合的･体験的･科学的に習得がしやすいように配慮されている。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「人の一生と家族・家庭及び福祉」に関する内容は，「人生を見通し，共に生きる」(p.6～69)として，各ライフステージの特徴と課題を時間軸に沿って理解できるようにしている。</w:t>
            </w:r>
            <w:bookmarkStart w:id="0" w:name="_GoBack"/>
            <w:bookmarkEnd w:id="0"/>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青年期は自立の視点を明確にしている。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乳幼児とのふれ合い交流や高齢者へのインタビューなどの体験学習や，生徒に身近な事例やどの世代にもかかわる課題を取り上げ，興味･関心をもって課題解決学習</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アクティブ・ラーニングに主体的に取り組める場面や導入を工夫している。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「生活の自立及び消費と環境」の内容は，「生活を営み，自立する」(p.70～171)として，自立した衣食住の生活を目指す視点からとらえている。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実習例は，生徒が取り組んでみたいと思うもの，家庭でも応用・発展もしやすいものを取り上げており，実習する視点が明確である。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生活と環境とのかかわりも具体的に記述してあり，高校生が身近に実践できる(p.76・77他多数)。</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消費行動・環境，ライフスタイルを考える視点で，ケーススタディ(p.88,121他多数)を随所に取り入れ，高校生の日常と関連しながら学ぶことができる。</w:t>
            </w:r>
          </w:p>
          <w:p w:rsidR="000E44E0" w:rsidRPr="000E44E0" w:rsidRDefault="000E44E0" w:rsidP="000E44E0">
            <w:pPr>
              <w:spacing w:line="24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「ホームプロジェクトと学校家庭クラブ活動」(p.184～189)は，実際に高校生が行った例を学習内容とリンクさせ，多彩な案を例示することで，生徒が実践しやすくなっている。</w:t>
            </w:r>
          </w:p>
        </w:tc>
      </w:tr>
      <w:tr w:rsidR="000E44E0" w:rsidRPr="000E44E0" w:rsidTr="000E44E0">
        <w:tc>
          <w:tcPr>
            <w:tcW w:w="421" w:type="dxa"/>
            <w:vMerge/>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20"/>
              </w:rPr>
            </w:pPr>
          </w:p>
        </w:tc>
        <w:tc>
          <w:tcPr>
            <w:tcW w:w="1591" w:type="dxa"/>
            <w:shd w:val="clear" w:color="auto" w:fill="D9D9D9" w:themeFill="background1" w:themeFillShade="D9"/>
            <w:vAlign w:val="center"/>
          </w:tcPr>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生徒の学習状況，</w:t>
            </w:r>
          </w:p>
          <w:p w:rsidR="000E44E0" w:rsidRPr="000E44E0" w:rsidRDefault="000E44E0" w:rsidP="000E44E0">
            <w:pPr>
              <w:spacing w:line="240" w:lineRule="exact"/>
              <w:rPr>
                <w:rFonts w:asciiTheme="majorEastAsia" w:eastAsiaTheme="majorEastAsia" w:hAnsiTheme="majorEastAsia"/>
                <w:color w:val="000000" w:themeColor="text1"/>
                <w:sz w:val="20"/>
              </w:rPr>
            </w:pPr>
            <w:r w:rsidRPr="00DE4754">
              <w:rPr>
                <w:rFonts w:ascii="HGS創英角ｺﾞｼｯｸUB" w:eastAsia="HGS創英角ｺﾞｼｯｸUB" w:hAnsi="HGS創英角ｺﾞｼｯｸUB" w:hint="eastAsia"/>
                <w:color w:val="000000" w:themeColor="text1"/>
                <w:sz w:val="18"/>
                <w:szCs w:val="18"/>
              </w:rPr>
              <w:t>社会状況との対応</w:t>
            </w:r>
          </w:p>
        </w:tc>
        <w:tc>
          <w:tcPr>
            <w:tcW w:w="10854" w:type="dxa"/>
            <w:tcMar>
              <w:top w:w="57" w:type="dxa"/>
              <w:bottom w:w="57" w:type="dxa"/>
            </w:tcMar>
          </w:tcPr>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小・中学校の家庭科教科書も発行しているため，それぞれの学習状況を踏まえた題材や内容が適切に取り上げられており，小･中･高校の系統性がはかられている。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少子･高齢社会，男女共同参画社会，国際化，情報化など社会の変化を取り上げ，学習指導要領で強調されている青年期の自立や職業選択，男女の平等と相互の協力などにつながるように</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実在の人のメッセージを取り上げるなどの配慮をしている。地域・社会の暮らしに参加し，広げる目を培えるように，記述を工夫している。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国際比較のデータ(p.57,86他多数)や和食(p.195,196,ⅵ)，多国籍料理(p.193・194)から他国の特徴や現状を理解し，日本との比較などができ，国際的な視点を養えるように構成されている。日本の伝統や文化も随所に取り上げ，日本から国際人として「日本」を発信できるよう工夫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「命と暮らしを守る」という教科の特質により，全章を通して，安全面・防災面を具体的に記述を厚くしている。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東日本大震災に対しての課題と対応についても高校生の視点で考えられるようにしている。世代，文化をこえた人と人とのつながりを重視している。</w:t>
            </w:r>
          </w:p>
          <w:p w:rsidR="000E44E0" w:rsidRPr="000E44E0" w:rsidRDefault="000E44E0" w:rsidP="000E44E0">
            <w:pPr>
              <w:spacing w:line="24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高校生の進路のヒントになるよう，各章では「キャリア」(p.15,129,147他)を，教科書最終ページでは「未来のキャリアを見つめる」(p.180・181)を掲載し，その中でさまざまな生き方や働き方を紹介している。</w:t>
            </w:r>
          </w:p>
          <w:p w:rsidR="000E44E0" w:rsidRPr="000E44E0" w:rsidRDefault="000E44E0" w:rsidP="000E44E0">
            <w:pPr>
              <w:spacing w:line="240" w:lineRule="exac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学習のまとめにあたる「生涯の生活設計」(p.172～179)では，教科書の他の学習と関連しながらキャリアを考えることができる。</w:t>
            </w:r>
          </w:p>
          <w:p w:rsidR="000E44E0" w:rsidRPr="000E44E0" w:rsidRDefault="000E44E0" w:rsidP="000E44E0">
            <w:pPr>
              <w:spacing w:line="240" w:lineRule="exact"/>
              <w:rPr>
                <w:rFonts w:asciiTheme="minorEastAsia" w:hAnsiTheme="minorEastAsia" w:hint="eastAsia"/>
                <w:color w:val="000000" w:themeColor="text1"/>
                <w:sz w:val="16"/>
                <w:szCs w:val="16"/>
              </w:rPr>
            </w:pPr>
            <w:r w:rsidRPr="000E44E0">
              <w:rPr>
                <w:rFonts w:asciiTheme="minorEastAsia" w:hAnsiTheme="minorEastAsia" w:hint="eastAsia"/>
                <w:color w:val="000000" w:themeColor="text1"/>
                <w:sz w:val="16"/>
                <w:szCs w:val="16"/>
              </w:rPr>
              <w:t>◎ 高校生に関わる「18歳選挙権」(p.1</w:t>
            </w:r>
            <w:r w:rsidRPr="000E44E0">
              <w:rPr>
                <w:rFonts w:asciiTheme="minorEastAsia" w:hAnsiTheme="minorEastAsia"/>
                <w:color w:val="000000" w:themeColor="text1"/>
                <w:sz w:val="16"/>
                <w:szCs w:val="16"/>
              </w:rPr>
              <w:t>0</w:t>
            </w:r>
            <w:r w:rsidRPr="000E44E0">
              <w:rPr>
                <w:rFonts w:asciiTheme="minorEastAsia" w:hAnsiTheme="minorEastAsia" w:hint="eastAsia"/>
                <w:color w:val="000000" w:themeColor="text1"/>
                <w:sz w:val="16"/>
                <w:szCs w:val="16"/>
              </w:rPr>
              <w:t>)や</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再婚禁止期間の見直し（p.22）</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マイナンバー制度（p.61）など最新の話題を掲載し</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新聞記事を用いた授業などでも</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社会状況に臨場感をもって授業ができる。</w:t>
            </w:r>
          </w:p>
        </w:tc>
      </w:tr>
      <w:tr w:rsidR="000E44E0" w:rsidRPr="000E44E0" w:rsidTr="000E44E0">
        <w:tc>
          <w:tcPr>
            <w:tcW w:w="421" w:type="dxa"/>
            <w:vMerge w:val="restart"/>
            <w:shd w:val="clear" w:color="auto" w:fill="D9D9D9" w:themeFill="background1" w:themeFillShade="D9"/>
            <w:textDirection w:val="tbRlV"/>
            <w:vAlign w:val="center"/>
          </w:tcPr>
          <w:p w:rsidR="000E44E0" w:rsidRPr="00DE4754" w:rsidRDefault="000E44E0" w:rsidP="000E44E0">
            <w:pPr>
              <w:spacing w:line="240" w:lineRule="exact"/>
              <w:ind w:left="113" w:right="113"/>
              <w:rPr>
                <w:rFonts w:ascii="HGS創英角ｺﾞｼｯｸUB" w:eastAsia="HGS創英角ｺﾞｼｯｸUB" w:hAnsi="HGS創英角ｺﾞｼｯｸUB"/>
                <w:color w:val="000000" w:themeColor="text1"/>
                <w:sz w:val="18"/>
                <w:szCs w:val="18"/>
              </w:rPr>
            </w:pPr>
            <w:r>
              <w:rPr>
                <w:rFonts w:ascii="HGS創英角ｺﾞｼｯｸUB" w:eastAsia="HGS創英角ｺﾞｼｯｸUB" w:hAnsi="HGS創英角ｺﾞｼｯｸUB" w:hint="eastAsia"/>
                <w:color w:val="000000" w:themeColor="text1"/>
                <w:sz w:val="18"/>
                <w:szCs w:val="18"/>
              </w:rPr>
              <w:t xml:space="preserve">　　　　　　</w:t>
            </w:r>
            <w:r w:rsidRPr="00DE4754">
              <w:rPr>
                <w:rFonts w:ascii="HGS創英角ｺﾞｼｯｸUB" w:eastAsia="HGS創英角ｺﾞｼｯｸUB" w:hAnsi="HGS創英角ｺﾞｼｯｸUB" w:hint="eastAsia"/>
                <w:color w:val="000000" w:themeColor="text1"/>
                <w:sz w:val="18"/>
                <w:szCs w:val="18"/>
              </w:rPr>
              <w:t>分量・構成</w:t>
            </w:r>
          </w:p>
        </w:tc>
        <w:tc>
          <w:tcPr>
            <w:tcW w:w="1591" w:type="dxa"/>
            <w:shd w:val="clear" w:color="auto" w:fill="D9D9D9" w:themeFill="background1" w:themeFillShade="D9"/>
            <w:vAlign w:val="center"/>
          </w:tcPr>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ストーリー性の</w:t>
            </w:r>
          </w:p>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ある構成</w:t>
            </w:r>
          </w:p>
        </w:tc>
        <w:tc>
          <w:tcPr>
            <w:tcW w:w="10854" w:type="dxa"/>
            <w:tcMar>
              <w:top w:w="57" w:type="dxa"/>
              <w:bottom w:w="57" w:type="dxa"/>
            </w:tcMar>
          </w:tcPr>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全体を学習指導要領の順序に合わせ，２部構成とし，内容ごとに章に分けて配列してあり，「生涯の生活設計」をまとめとすることで，自立・共生・持続可能な社会に向かってストーリー性のある展開が可能であ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冒頭の頁は，小学校，中学校とこれまで学んできた学習内容を概観させるとともに，これから学ぶ内容をイメージしやすいように掲載し，高校生の興味関心を高めるように工夫している。高校生の自立に向かうことを促す，家庭科からのメッセージとして位置付けている。</w:t>
            </w:r>
          </w:p>
        </w:tc>
      </w:tr>
      <w:tr w:rsidR="000E44E0" w:rsidRPr="000E44E0" w:rsidTr="000E44E0">
        <w:tc>
          <w:tcPr>
            <w:tcW w:w="421" w:type="dxa"/>
            <w:vMerge/>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20"/>
              </w:rPr>
            </w:pPr>
          </w:p>
        </w:tc>
        <w:tc>
          <w:tcPr>
            <w:tcW w:w="1591" w:type="dxa"/>
            <w:shd w:val="clear" w:color="auto" w:fill="D9D9D9" w:themeFill="background1" w:themeFillShade="D9"/>
            <w:vAlign w:val="center"/>
          </w:tcPr>
          <w:p w:rsidR="000E44E0" w:rsidRPr="00DE4754" w:rsidRDefault="000E44E0" w:rsidP="000E44E0">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指導しやすい，</w:t>
            </w:r>
          </w:p>
          <w:p w:rsidR="000E44E0" w:rsidRPr="00DE4754" w:rsidRDefault="000E44E0" w:rsidP="000E44E0">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適切な分量</w:t>
            </w:r>
          </w:p>
          <w:p w:rsidR="000E44E0" w:rsidRPr="000E44E0" w:rsidRDefault="000E44E0" w:rsidP="000E44E0">
            <w:pPr>
              <w:spacing w:line="240" w:lineRule="exact"/>
              <w:rPr>
                <w:rFonts w:asciiTheme="majorEastAsia" w:eastAsiaTheme="majorEastAsia" w:hAnsiTheme="majorEastAsia"/>
                <w:color w:val="000000" w:themeColor="text1"/>
                <w:sz w:val="16"/>
              </w:rPr>
            </w:pPr>
          </w:p>
        </w:tc>
        <w:tc>
          <w:tcPr>
            <w:tcW w:w="10854" w:type="dxa"/>
            <w:tcMar>
              <w:top w:w="57" w:type="dxa"/>
              <w:bottom w:w="57" w:type="dxa"/>
            </w:tcMar>
          </w:tcPr>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項目ごとに見開き（あるいは1 頁）単位として，「導入課題」「本文」「小課題」の順に構成され，章の終わりに「ふり返り」が設けられており，高校生が理解・定着しやすいだけでなく，授業や定期考査で使いやすいようにまとめ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調理実習も1 題材・１見開きとなっている。完成図は全頁大の写真を使って掲載し，また調理段階も全て写真を用いて，実習全体の流れのイメージをつかみやすいものである。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xml:space="preserve">◎ </w:t>
            </w:r>
            <w:r w:rsidRPr="000E44E0">
              <w:rPr>
                <w:rFonts w:asciiTheme="minorEastAsia" w:hAnsiTheme="minorEastAsia" w:hint="eastAsia"/>
                <w:color w:val="000000" w:themeColor="text1"/>
                <w:sz w:val="16"/>
                <w:szCs w:val="16"/>
              </w:rPr>
              <w:t>小学校中学校の技能を活用して</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環境に配慮した製作例も取り上げている（箸入れ</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携帯用ソーイングケース）。</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それぞれの学習項目の特性や必要に応じて，図や写真，資料，コラムなどを取り上げていて，２単位の学習が円滑に行えるように，分量や配分のバランスがよい。</w:t>
            </w:r>
          </w:p>
        </w:tc>
      </w:tr>
      <w:tr w:rsidR="000E44E0" w:rsidRPr="000E44E0" w:rsidTr="000E44E0">
        <w:tc>
          <w:tcPr>
            <w:tcW w:w="421" w:type="dxa"/>
            <w:vMerge/>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20"/>
              </w:rPr>
            </w:pPr>
          </w:p>
        </w:tc>
        <w:tc>
          <w:tcPr>
            <w:tcW w:w="1591" w:type="dxa"/>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16"/>
              </w:rPr>
            </w:pPr>
            <w:r w:rsidRPr="00DE4754">
              <w:rPr>
                <w:rFonts w:ascii="HGS創英角ｺﾞｼｯｸUB" w:eastAsia="HGS創英角ｺﾞｼｯｸUB" w:hAnsi="HGS創英角ｺﾞｼｯｸUB" w:hint="eastAsia"/>
                <w:color w:val="000000" w:themeColor="text1"/>
                <w:sz w:val="18"/>
                <w:szCs w:val="18"/>
              </w:rPr>
              <w:t>印刷・製本・体裁</w:t>
            </w:r>
          </w:p>
        </w:tc>
        <w:tc>
          <w:tcPr>
            <w:tcW w:w="10854" w:type="dxa"/>
            <w:tcMar>
              <w:top w:w="57" w:type="dxa"/>
              <w:bottom w:w="57" w:type="dxa"/>
            </w:tcMar>
          </w:tcPr>
          <w:p w:rsidR="000E44E0" w:rsidRPr="000E44E0" w:rsidRDefault="000E44E0" w:rsidP="000E44E0">
            <w:pPr>
              <w:widowControl/>
              <w:spacing w:line="200" w:lineRule="exact"/>
              <w:ind w:left="160" w:hangingChars="100" w:hanging="160"/>
              <w:jc w:val="lef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家庭基礎の学習内容を示唆する内容を表紙で表現している。色彩もカラフルで美しく，生徒の関心・意欲を喚起するとともに</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卒業後の活用も期待できる。</w:t>
            </w:r>
          </w:p>
          <w:p w:rsidR="000E44E0" w:rsidRPr="000E44E0" w:rsidRDefault="000E44E0" w:rsidP="000E44E0">
            <w:pPr>
              <w:widowControl/>
              <w:spacing w:line="200" w:lineRule="exact"/>
              <w:ind w:left="160" w:hangingChars="100" w:hanging="160"/>
              <w:jc w:val="lef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製本は堅牢で，長期の使用に耐えるものとなっている。</w:t>
            </w:r>
          </w:p>
        </w:tc>
      </w:tr>
      <w:tr w:rsidR="000E44E0" w:rsidRPr="000E44E0" w:rsidTr="000E44E0">
        <w:tc>
          <w:tcPr>
            <w:tcW w:w="421" w:type="dxa"/>
            <w:vMerge w:val="restart"/>
            <w:shd w:val="clear" w:color="auto" w:fill="D9D9D9" w:themeFill="background1" w:themeFillShade="D9"/>
            <w:vAlign w:val="center"/>
          </w:tcPr>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表現・表記・指導に対する工夫・留意点</w:t>
            </w:r>
          </w:p>
        </w:tc>
        <w:tc>
          <w:tcPr>
            <w:tcW w:w="1591" w:type="dxa"/>
            <w:shd w:val="clear" w:color="auto" w:fill="D9D9D9" w:themeFill="background1" w:themeFillShade="D9"/>
            <w:vAlign w:val="center"/>
          </w:tcPr>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生徒の学習意欲を高める表現</w:t>
            </w:r>
          </w:p>
          <w:p w:rsidR="000E44E0" w:rsidRPr="00DE4754" w:rsidRDefault="000E44E0" w:rsidP="000E44E0">
            <w:pPr>
              <w:spacing w:line="240" w:lineRule="exact"/>
              <w:rPr>
                <w:rFonts w:ascii="HGS創英角ｺﾞｼｯｸUB" w:eastAsia="HGS創英角ｺﾞｼｯｸUB" w:hAnsi="HGS創英角ｺﾞｼｯｸUB"/>
                <w:color w:val="000000" w:themeColor="text1"/>
                <w:sz w:val="18"/>
                <w:szCs w:val="18"/>
              </w:rPr>
            </w:pPr>
          </w:p>
        </w:tc>
        <w:tc>
          <w:tcPr>
            <w:tcW w:w="10854" w:type="dxa"/>
            <w:tcMar>
              <w:top w:w="57" w:type="dxa"/>
              <w:bottom w:w="57" w:type="dxa"/>
            </w:tcMar>
          </w:tcPr>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高校生に親しみやすいイラストや鮮明な写真を掲載し，高校生のキャラクターが進行していることや</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擬人化されたキャラクターの「つぶやき」など，高校生の学習意欲を高められるように工夫している。</w:t>
            </w:r>
          </w:p>
          <w:p w:rsidR="000E44E0" w:rsidRPr="000E44E0" w:rsidRDefault="000E44E0" w:rsidP="000E44E0">
            <w:pPr>
              <w:spacing w:line="200" w:lineRule="exac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タイトルはほぼ，高校生への投げかけや疑問形の形をとっており，生徒が主体的に学習に取り組めるよう配慮している。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各頁の下部には「マメ知識」に知っておきたいと思う情報を，また学習を更に深めることができるように「参考」(p.21,83,125,146,154,166他多数)を，さらに科学的な視点を養うために「サイエンスアイ」(p.50,81,86,127,164他多数)を，社会的視点を養うことができるよう「column」(p.38,60,76,143,153他多数)が，各所に配置されている。</w:t>
            </w:r>
          </w:p>
        </w:tc>
      </w:tr>
      <w:tr w:rsidR="000E44E0" w:rsidRPr="000E44E0" w:rsidTr="000E44E0">
        <w:tc>
          <w:tcPr>
            <w:tcW w:w="421" w:type="dxa"/>
            <w:vMerge/>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20"/>
              </w:rPr>
            </w:pPr>
          </w:p>
        </w:tc>
        <w:tc>
          <w:tcPr>
            <w:tcW w:w="1591" w:type="dxa"/>
            <w:shd w:val="clear" w:color="auto" w:fill="D9D9D9" w:themeFill="background1" w:themeFillShade="D9"/>
            <w:vAlign w:val="center"/>
          </w:tcPr>
          <w:p w:rsidR="000E44E0" w:rsidRPr="00DE4754" w:rsidRDefault="000E44E0" w:rsidP="000E44E0">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生徒の問題解決</w:t>
            </w:r>
          </w:p>
          <w:p w:rsidR="000E44E0" w:rsidRPr="00DE4754" w:rsidRDefault="000E44E0" w:rsidP="000E44E0">
            <w:pPr>
              <w:spacing w:line="200" w:lineRule="exact"/>
              <w:rPr>
                <w:rFonts w:ascii="HGS創英角ｺﾞｼｯｸUB" w:eastAsia="HGS創英角ｺﾞｼｯｸUB" w:hAnsi="HGS創英角ｺﾞｼｯｸUB"/>
                <w:color w:val="000000" w:themeColor="text1"/>
                <w:sz w:val="18"/>
                <w:szCs w:val="18"/>
              </w:rPr>
            </w:pPr>
            <w:r w:rsidRPr="00DE4754">
              <w:rPr>
                <w:rFonts w:ascii="HGS創英角ｺﾞｼｯｸUB" w:eastAsia="HGS創英角ｺﾞｼｯｸUB" w:hAnsi="HGS創英角ｺﾞｼｯｸUB" w:hint="eastAsia"/>
                <w:color w:val="000000" w:themeColor="text1"/>
                <w:sz w:val="18"/>
                <w:szCs w:val="18"/>
              </w:rPr>
              <w:t>能力を育む課題</w:t>
            </w:r>
          </w:p>
          <w:p w:rsidR="000E44E0" w:rsidRPr="000E44E0" w:rsidRDefault="000E44E0" w:rsidP="000E44E0">
            <w:pPr>
              <w:spacing w:line="240" w:lineRule="exact"/>
              <w:rPr>
                <w:rFonts w:asciiTheme="majorEastAsia" w:eastAsiaTheme="majorEastAsia" w:hAnsiTheme="majorEastAsia"/>
                <w:color w:val="000000" w:themeColor="text1"/>
                <w:sz w:val="16"/>
              </w:rPr>
            </w:pPr>
          </w:p>
        </w:tc>
        <w:tc>
          <w:tcPr>
            <w:tcW w:w="10854" w:type="dxa"/>
            <w:tcMar>
              <w:top w:w="57" w:type="dxa"/>
              <w:bottom w:w="57" w:type="dxa"/>
            </w:tcMar>
          </w:tcPr>
          <w:p w:rsidR="000E44E0" w:rsidRPr="000E44E0" w:rsidRDefault="000E44E0" w:rsidP="000E44E0">
            <w:pPr>
              <w:spacing w:line="200" w:lineRule="exac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高校生にとって身近な問題を提起する導入課題である「考えてみよう」が学習のはじめに配置されている。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やってみよう」「考えてみよう」「調べてみよう」「話し合ってみよう」などの問題解決学習の箇所がマークで示され，生徒の思考力・判断力・問題解決能力・コミュニケーション能力を育てる課題が随所に掲載されており，アクティブ・ラーニングにも対応している(p.8,28,66,121,138,148,179他多数)。またこれらは，学習した知識や技術を実践につなぐことができるような課題であ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「セクシュアル・マイノリティ」(p.12)など，現実の課題が取り上げられていることで，少数的立場の人も差別することなく</w:t>
            </w:r>
            <w:r>
              <w:rPr>
                <w:rFonts w:asciiTheme="minorEastAsia" w:hAnsiTheme="minorEastAsia" w:hint="eastAsia"/>
                <w:color w:val="000000" w:themeColor="text1"/>
                <w:sz w:val="16"/>
                <w:szCs w:val="16"/>
              </w:rPr>
              <w:t>，</w:t>
            </w:r>
            <w:r w:rsidRPr="000E44E0">
              <w:rPr>
                <w:rFonts w:asciiTheme="minorEastAsia" w:hAnsiTheme="minorEastAsia" w:hint="eastAsia"/>
                <w:color w:val="000000" w:themeColor="text1"/>
                <w:sz w:val="16"/>
                <w:szCs w:val="16"/>
              </w:rPr>
              <w:t>また高校生が人生の選択肢をあらかじめ狭めてしまうことなく，各々に自分らしさを発揮できるように，考えられている。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乳幼児を身近にイメージしやすいようにイラストや写真が多用されているため，高校生にもイメージしやすいものになっている。(p.32～35,42・43)</w:t>
            </w:r>
          </w:p>
          <w:p w:rsidR="000E44E0" w:rsidRPr="000E44E0" w:rsidRDefault="000E44E0" w:rsidP="000E44E0">
            <w:pPr>
              <w:spacing w:line="200" w:lineRule="exact"/>
              <w:ind w:left="160" w:hangingChars="100" w:hanging="160"/>
              <w:rPr>
                <w:rFonts w:asciiTheme="minorEastAsia" w:hAnsiTheme="minorEastAsia"/>
                <w:strike/>
                <w:color w:val="000000" w:themeColor="text1"/>
                <w:sz w:val="16"/>
                <w:szCs w:val="16"/>
              </w:rPr>
            </w:pPr>
            <w:r w:rsidRPr="000E44E0">
              <w:rPr>
                <w:rFonts w:asciiTheme="minorEastAsia" w:hAnsiTheme="minorEastAsia" w:hint="eastAsia"/>
                <w:color w:val="000000" w:themeColor="text1"/>
                <w:sz w:val="16"/>
                <w:szCs w:val="16"/>
              </w:rPr>
              <w:t>◎ いす取りゲームから格差社会を考えさせる課題(p.58)，家族や高齢者を扱ったメディア（映画や本）を取り上げる(p.20,49)，など多様な学習方法と課題を取り入れている。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実際の給与明細(p.148)，求人票(p.177)や，「東日本大震災での仮設住宅＝まちづくり」(p.143)や多様な家族関係(p.18,21,24,135)などの事例を掲載し，また課題解決の手立てとして限定した記述ではなく，両論併記をするなど，生徒の意見や考えを引き出すことができるよう工夫し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高校生に関わる「18歳選挙権」(p.10)など最新の課題にもふれられ，より身近なものになるよう工夫されている。</w:t>
            </w:r>
          </w:p>
          <w:p w:rsidR="000E44E0" w:rsidRPr="000E44E0" w:rsidRDefault="000E44E0" w:rsidP="000E44E0">
            <w:pPr>
              <w:spacing w:line="200" w:lineRule="exact"/>
              <w:ind w:left="160" w:hangingChars="100" w:hanging="160"/>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年表やグラフが多く掲載されていること，投げかけの形で「導入課題」があることは，高校生が現状や歴史などの背景を考えることができるだけでなく，読み取った情報を基に課題を見つけ，解決する力をつけることができる。</w:t>
            </w:r>
          </w:p>
        </w:tc>
      </w:tr>
      <w:tr w:rsidR="000E44E0" w:rsidRPr="000E44E0" w:rsidTr="000E44E0">
        <w:tc>
          <w:tcPr>
            <w:tcW w:w="421" w:type="dxa"/>
            <w:vMerge/>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20"/>
              </w:rPr>
            </w:pPr>
          </w:p>
        </w:tc>
        <w:tc>
          <w:tcPr>
            <w:tcW w:w="1591" w:type="dxa"/>
            <w:shd w:val="clear" w:color="auto" w:fill="D9D9D9" w:themeFill="background1" w:themeFillShade="D9"/>
            <w:vAlign w:val="center"/>
          </w:tcPr>
          <w:p w:rsidR="000E44E0" w:rsidRPr="000E44E0" w:rsidRDefault="000E44E0" w:rsidP="000E44E0">
            <w:pPr>
              <w:spacing w:line="240" w:lineRule="exact"/>
              <w:rPr>
                <w:rFonts w:asciiTheme="majorEastAsia" w:eastAsiaTheme="majorEastAsia" w:hAnsiTheme="majorEastAsia"/>
                <w:color w:val="000000" w:themeColor="text1"/>
                <w:sz w:val="16"/>
              </w:rPr>
            </w:pPr>
            <w:r w:rsidRPr="00DE4754">
              <w:rPr>
                <w:rFonts w:ascii="HGS創英角ｺﾞｼｯｸUB" w:eastAsia="HGS創英角ｺﾞｼｯｸUB" w:hAnsi="HGS創英角ｺﾞｼｯｸUB" w:hint="eastAsia"/>
                <w:color w:val="000000" w:themeColor="text1"/>
                <w:sz w:val="18"/>
                <w:szCs w:val="18"/>
              </w:rPr>
              <w:t>表記・表現</w:t>
            </w:r>
          </w:p>
        </w:tc>
        <w:tc>
          <w:tcPr>
            <w:tcW w:w="10854" w:type="dxa"/>
            <w:tcMar>
              <w:top w:w="57" w:type="dxa"/>
              <w:bottom w:w="57" w:type="dxa"/>
            </w:tcMar>
          </w:tcPr>
          <w:p w:rsidR="000E44E0" w:rsidRPr="000E44E0" w:rsidRDefault="000E44E0" w:rsidP="000E44E0">
            <w:pPr>
              <w:widowControl/>
              <w:spacing w:line="200" w:lineRule="exact"/>
              <w:jc w:val="lef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見やすいレイアウトに優しい配色で，且つ白く裏写りしない紙が使用されている。</w:t>
            </w:r>
          </w:p>
          <w:p w:rsidR="000E44E0" w:rsidRPr="000E44E0" w:rsidRDefault="000E44E0" w:rsidP="000E44E0">
            <w:pPr>
              <w:widowControl/>
              <w:spacing w:line="200" w:lineRule="exact"/>
              <w:ind w:left="160" w:hangingChars="100" w:hanging="160"/>
              <w:jc w:val="left"/>
              <w:rPr>
                <w:rFonts w:asciiTheme="minorEastAsia" w:hAnsiTheme="minorEastAsia"/>
                <w:color w:val="000000" w:themeColor="text1"/>
                <w:sz w:val="16"/>
                <w:szCs w:val="16"/>
              </w:rPr>
            </w:pPr>
            <w:r w:rsidRPr="000E44E0">
              <w:rPr>
                <w:rFonts w:asciiTheme="minorEastAsia" w:hAnsiTheme="minorEastAsia" w:hint="eastAsia"/>
                <w:color w:val="000000" w:themeColor="text1"/>
                <w:sz w:val="16"/>
                <w:szCs w:val="16"/>
              </w:rPr>
              <w:t>◎ 本文には読みやすい明朝体を使用している。また，重要な語句は緑色の太字で表し，漢字全てにルビがふられているため，高校生が一目みて大切な語句だと理解することができる。</w:t>
            </w:r>
          </w:p>
          <w:p w:rsidR="000E44E0" w:rsidRPr="000E44E0" w:rsidRDefault="000E44E0" w:rsidP="000E44E0">
            <w:pPr>
              <w:widowControl/>
              <w:spacing w:line="200" w:lineRule="exact"/>
              <w:jc w:val="left"/>
              <w:rPr>
                <w:rFonts w:asciiTheme="minorEastAsia" w:hAnsiTheme="minorEastAsia" w:hint="eastAsia"/>
                <w:color w:val="000000" w:themeColor="text1"/>
                <w:sz w:val="16"/>
                <w:szCs w:val="16"/>
              </w:rPr>
            </w:pPr>
            <w:r w:rsidRPr="000E44E0">
              <w:rPr>
                <w:rFonts w:asciiTheme="minorEastAsia" w:hAnsiTheme="minorEastAsia" w:hint="eastAsia"/>
                <w:color w:val="000000" w:themeColor="text1"/>
                <w:sz w:val="16"/>
                <w:szCs w:val="16"/>
              </w:rPr>
              <w:t>◎ AB判で紙面が大きいため，イラストや写真，図表が視覚的に理解しやすく，また種類も豊富に取り入れている。</w:t>
            </w:r>
          </w:p>
        </w:tc>
      </w:tr>
    </w:tbl>
    <w:tbl>
      <w:tblPr>
        <w:tblW w:w="12870"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12445"/>
      </w:tblGrid>
      <w:tr w:rsidR="000E44E0" w:rsidRPr="000E44E0" w:rsidTr="004A49D6">
        <w:tblPrEx>
          <w:tblCellMar>
            <w:top w:w="0" w:type="dxa"/>
            <w:bottom w:w="0" w:type="dxa"/>
          </w:tblCellMar>
        </w:tblPrEx>
        <w:trPr>
          <w:trHeight w:val="135"/>
        </w:trPr>
        <w:tc>
          <w:tcPr>
            <w:tcW w:w="425" w:type="dxa"/>
            <w:tcBorders>
              <w:top w:val="single" w:sz="4" w:space="0" w:color="auto"/>
              <w:right w:val="single" w:sz="4" w:space="0" w:color="auto"/>
            </w:tcBorders>
            <w:shd w:val="clear" w:color="auto" w:fill="E6E6E6"/>
            <w:tcMar>
              <w:top w:w="57" w:type="dxa"/>
              <w:bottom w:w="57" w:type="dxa"/>
            </w:tcMar>
            <w:vAlign w:val="center"/>
          </w:tcPr>
          <w:p w:rsidR="00BE6D62" w:rsidRPr="000E44E0" w:rsidRDefault="00BE6D62" w:rsidP="004A49D6">
            <w:pPr>
              <w:spacing w:line="200" w:lineRule="exact"/>
              <w:rPr>
                <w:rFonts w:ascii="ＭＳ ゴシック" w:eastAsia="ＭＳ ゴシック" w:hAnsi="ＭＳ ゴシック" w:hint="eastAsia"/>
                <w:color w:val="000000" w:themeColor="text1"/>
                <w:sz w:val="18"/>
                <w:szCs w:val="18"/>
              </w:rPr>
            </w:pPr>
            <w:r w:rsidRPr="000E44E0">
              <w:rPr>
                <w:rFonts w:ascii="HGP創英角ｺﾞｼｯｸUB" w:eastAsia="HGP創英角ｺﾞｼｯｸUB" w:hAnsi="ＭＳ ゴシック" w:hint="eastAsia"/>
                <w:color w:val="000000" w:themeColor="text1"/>
                <w:sz w:val="18"/>
                <w:szCs w:val="18"/>
              </w:rPr>
              <w:t>総合所見</w:t>
            </w:r>
          </w:p>
        </w:tc>
        <w:tc>
          <w:tcPr>
            <w:tcW w:w="12445" w:type="dxa"/>
            <w:tcBorders>
              <w:top w:val="single" w:sz="4" w:space="0" w:color="auto"/>
              <w:left w:val="single" w:sz="4" w:space="0" w:color="auto"/>
              <w:bottom w:val="single" w:sz="4" w:space="0" w:color="auto"/>
              <w:right w:val="single" w:sz="4" w:space="0" w:color="auto"/>
            </w:tcBorders>
            <w:tcMar>
              <w:top w:w="57" w:type="dxa"/>
              <w:bottom w:w="57" w:type="dxa"/>
            </w:tcMar>
          </w:tcPr>
          <w:p w:rsidR="00BE6D62" w:rsidRPr="000E44E0" w:rsidRDefault="00BE6D62" w:rsidP="004A49D6">
            <w:pPr>
              <w:spacing w:line="200" w:lineRule="exact"/>
              <w:rPr>
                <w:rFonts w:ascii="HG丸ｺﾞｼｯｸM-PRO" w:eastAsia="HG丸ｺﾞｼｯｸM-PRO" w:hint="eastAsia"/>
                <w:color w:val="000000" w:themeColor="text1"/>
                <w:sz w:val="16"/>
                <w:szCs w:val="16"/>
              </w:rPr>
            </w:pPr>
            <w:r w:rsidRPr="000E44E0">
              <w:rPr>
                <w:rFonts w:ascii="HG丸ｺﾞｼｯｸM-PRO" w:eastAsia="HG丸ｺﾞｼｯｸM-PRO" w:hint="eastAsia"/>
                <w:color w:val="000000" w:themeColor="text1"/>
                <w:sz w:val="16"/>
                <w:szCs w:val="16"/>
              </w:rPr>
              <w:t>■１見開き単位で学習項目がまとめられており，見通しをもって学習に臨むことができる。</w:t>
            </w:r>
          </w:p>
          <w:p w:rsidR="00BE6D62" w:rsidRPr="000E44E0" w:rsidRDefault="00BE6D62" w:rsidP="004A49D6">
            <w:pPr>
              <w:spacing w:line="200" w:lineRule="exact"/>
              <w:rPr>
                <w:rFonts w:ascii="HG丸ｺﾞｼｯｸM-PRO" w:eastAsia="HG丸ｺﾞｼｯｸM-PRO" w:hint="eastAsia"/>
                <w:color w:val="000000" w:themeColor="text1"/>
                <w:sz w:val="16"/>
                <w:szCs w:val="16"/>
              </w:rPr>
            </w:pPr>
            <w:r w:rsidRPr="000E44E0">
              <w:rPr>
                <w:rFonts w:ascii="HG丸ｺﾞｼｯｸM-PRO" w:eastAsia="HG丸ｺﾞｼｯｸM-PRO" w:hint="eastAsia"/>
                <w:color w:val="000000" w:themeColor="text1"/>
                <w:sz w:val="16"/>
                <w:szCs w:val="16"/>
              </w:rPr>
              <w:t>■全体として，内容の範囲・程度・選択・扱いは適切で，組織・分量や内容の取扱い，表記・表現などで，細かな工夫がみられる。</w:t>
            </w:r>
          </w:p>
          <w:p w:rsidR="00BE6D62" w:rsidRPr="000E44E0" w:rsidRDefault="00BE6D62" w:rsidP="004A49D6">
            <w:pPr>
              <w:spacing w:line="200" w:lineRule="exact"/>
              <w:ind w:left="160" w:hangingChars="100" w:hanging="160"/>
              <w:rPr>
                <w:rFonts w:ascii="HG丸ｺﾞｼｯｸM-PRO" w:eastAsia="HG丸ｺﾞｼｯｸM-PRO" w:hint="eastAsia"/>
                <w:color w:val="000000" w:themeColor="text1"/>
                <w:sz w:val="16"/>
                <w:szCs w:val="16"/>
              </w:rPr>
            </w:pPr>
            <w:r w:rsidRPr="000E44E0">
              <w:rPr>
                <w:rFonts w:ascii="HG丸ｺﾞｼｯｸM-PRO" w:eastAsia="HG丸ｺﾞｼｯｸM-PRO" w:hint="eastAsia"/>
                <w:color w:val="000000" w:themeColor="text1"/>
                <w:sz w:val="16"/>
                <w:szCs w:val="16"/>
              </w:rPr>
              <w:t>■各題材は，随所にアクティブ・ラーニングが可能となる課題が配置されており</w:t>
            </w:r>
            <w:r w:rsidR="000E44E0">
              <w:rPr>
                <w:rFonts w:ascii="HG丸ｺﾞｼｯｸM-PRO" w:eastAsia="HG丸ｺﾞｼｯｸM-PRO" w:hint="eastAsia"/>
                <w:color w:val="000000" w:themeColor="text1"/>
                <w:sz w:val="16"/>
                <w:szCs w:val="16"/>
              </w:rPr>
              <w:t>，</w:t>
            </w:r>
            <w:r w:rsidRPr="000E44E0">
              <w:rPr>
                <w:rFonts w:ascii="HG丸ｺﾞｼｯｸM-PRO" w:eastAsia="HG丸ｺﾞｼｯｸM-PRO" w:hint="eastAsia"/>
                <w:color w:val="000000" w:themeColor="text1"/>
                <w:sz w:val="16"/>
                <w:szCs w:val="16"/>
              </w:rPr>
              <w:t>問題解決的な学習が無理なく展開できる。これらの課題によって，主体的に学ぶ力，創意工夫する力を養うことができる。</w:t>
            </w:r>
          </w:p>
          <w:p w:rsidR="00BE6D62" w:rsidRPr="000E44E0" w:rsidRDefault="00BE6D62" w:rsidP="004A49D6">
            <w:pPr>
              <w:spacing w:line="200" w:lineRule="exact"/>
              <w:ind w:left="160" w:hangingChars="100" w:hanging="160"/>
              <w:rPr>
                <w:rFonts w:ascii="HG丸ｺﾞｼｯｸM-PRO" w:eastAsia="HG丸ｺﾞｼｯｸM-PRO" w:hint="eastAsia"/>
                <w:color w:val="000000" w:themeColor="text1"/>
                <w:sz w:val="16"/>
                <w:szCs w:val="16"/>
              </w:rPr>
            </w:pPr>
            <w:r w:rsidRPr="000E44E0">
              <w:rPr>
                <w:rFonts w:ascii="HG丸ｺﾞｼｯｸM-PRO" w:eastAsia="HG丸ｺﾞｼｯｸM-PRO" w:hint="eastAsia"/>
                <w:color w:val="000000" w:themeColor="text1"/>
                <w:sz w:val="16"/>
                <w:szCs w:val="16"/>
              </w:rPr>
              <w:t>■学習を広げるための資料（食育や安全・防災教育，環境・消費者教育，及び言語活動，科学的視点，地域性や伝統文化，人権尊重・男女平等・ノーマライゼーション・高齢社会への対応，国際理解など）が充実しており，実践的で極めて適切である。</w:t>
            </w:r>
          </w:p>
          <w:p w:rsidR="00BE6D62" w:rsidRPr="000E44E0" w:rsidRDefault="00BE6D62" w:rsidP="004A49D6">
            <w:pPr>
              <w:spacing w:line="200" w:lineRule="exact"/>
              <w:ind w:left="160" w:hangingChars="100" w:hanging="160"/>
              <w:rPr>
                <w:rFonts w:ascii="HG丸ｺﾞｼｯｸM-PRO" w:eastAsia="HG丸ｺﾞｼｯｸM-PRO" w:hint="eastAsia"/>
                <w:color w:val="000000" w:themeColor="text1"/>
                <w:sz w:val="16"/>
                <w:szCs w:val="16"/>
              </w:rPr>
            </w:pPr>
            <w:r w:rsidRPr="000E44E0">
              <w:rPr>
                <w:rFonts w:ascii="HG丸ｺﾞｼｯｸM-PRO" w:eastAsia="HG丸ｺﾞｼｯｸM-PRO" w:hint="eastAsia"/>
                <w:color w:val="000000" w:themeColor="text1"/>
                <w:sz w:val="16"/>
                <w:szCs w:val="16"/>
              </w:rPr>
              <w:t>■小学校・中学校からの系統性を意識しながら</w:t>
            </w:r>
            <w:r w:rsidR="000E44E0">
              <w:rPr>
                <w:rFonts w:ascii="HG丸ｺﾞｼｯｸM-PRO" w:eastAsia="HG丸ｺﾞｼｯｸM-PRO" w:hint="eastAsia"/>
                <w:color w:val="000000" w:themeColor="text1"/>
                <w:sz w:val="16"/>
                <w:szCs w:val="16"/>
              </w:rPr>
              <w:t>，</w:t>
            </w:r>
            <w:r w:rsidRPr="000E44E0">
              <w:rPr>
                <w:rFonts w:ascii="HG丸ｺﾞｼｯｸM-PRO" w:eastAsia="HG丸ｺﾞｼｯｸM-PRO" w:hint="eastAsia"/>
                <w:color w:val="000000" w:themeColor="text1"/>
                <w:sz w:val="16"/>
                <w:szCs w:val="16"/>
              </w:rPr>
              <w:t>家庭生活や社会生活で応用・実践していく基礎的・基本的な知識と技能が習得できるように配慮されており</w:t>
            </w:r>
            <w:r w:rsidR="000E44E0">
              <w:rPr>
                <w:rFonts w:ascii="HG丸ｺﾞｼｯｸM-PRO" w:eastAsia="HG丸ｺﾞｼｯｸM-PRO" w:hint="eastAsia"/>
                <w:color w:val="000000" w:themeColor="text1"/>
                <w:sz w:val="16"/>
                <w:szCs w:val="16"/>
              </w:rPr>
              <w:t>，</w:t>
            </w:r>
            <w:r w:rsidRPr="000E44E0">
              <w:rPr>
                <w:rFonts w:ascii="HG丸ｺﾞｼｯｸM-PRO" w:eastAsia="HG丸ｺﾞｼｯｸM-PRO" w:hint="eastAsia"/>
                <w:color w:val="000000" w:themeColor="text1"/>
                <w:sz w:val="16"/>
                <w:szCs w:val="16"/>
              </w:rPr>
              <w:t>また「生涯の生活設計」をまとめとしている全体構成は</w:t>
            </w:r>
            <w:r w:rsidR="000E44E0">
              <w:rPr>
                <w:rFonts w:ascii="HG丸ｺﾞｼｯｸM-PRO" w:eastAsia="HG丸ｺﾞｼｯｸM-PRO" w:hint="eastAsia"/>
                <w:color w:val="000000" w:themeColor="text1"/>
                <w:sz w:val="16"/>
                <w:szCs w:val="16"/>
              </w:rPr>
              <w:t>，</w:t>
            </w:r>
            <w:r w:rsidRPr="000E44E0">
              <w:rPr>
                <w:rFonts w:ascii="HG丸ｺﾞｼｯｸM-PRO" w:eastAsia="HG丸ｺﾞｼｯｸM-PRO" w:hint="eastAsia"/>
                <w:color w:val="000000" w:themeColor="text1"/>
                <w:sz w:val="16"/>
                <w:szCs w:val="16"/>
              </w:rPr>
              <w:t>自立に向けた最終段階として</w:t>
            </w:r>
            <w:r w:rsidR="000E44E0">
              <w:rPr>
                <w:rFonts w:ascii="HG丸ｺﾞｼｯｸM-PRO" w:eastAsia="HG丸ｺﾞｼｯｸM-PRO" w:hint="eastAsia"/>
                <w:color w:val="000000" w:themeColor="text1"/>
                <w:sz w:val="16"/>
                <w:szCs w:val="16"/>
              </w:rPr>
              <w:t>，</w:t>
            </w:r>
            <w:r w:rsidRPr="000E44E0">
              <w:rPr>
                <w:rFonts w:ascii="HG丸ｺﾞｼｯｸM-PRO" w:eastAsia="HG丸ｺﾞｼｯｸM-PRO" w:hint="eastAsia"/>
                <w:color w:val="000000" w:themeColor="text1"/>
                <w:sz w:val="16"/>
                <w:szCs w:val="16"/>
              </w:rPr>
              <w:t>極めて適切であり効果的である。</w:t>
            </w:r>
          </w:p>
          <w:p w:rsidR="00BE6D62" w:rsidRPr="000E44E0" w:rsidRDefault="00BE6D62" w:rsidP="004A49D6">
            <w:pPr>
              <w:spacing w:line="200" w:lineRule="exact"/>
              <w:rPr>
                <w:rFonts w:ascii="HG丸ｺﾞｼｯｸM-PRO" w:eastAsia="HG丸ｺﾞｼｯｸM-PRO" w:hint="eastAsia"/>
                <w:color w:val="000000" w:themeColor="text1"/>
                <w:sz w:val="16"/>
                <w:szCs w:val="16"/>
              </w:rPr>
            </w:pPr>
            <w:r w:rsidRPr="000E44E0">
              <w:rPr>
                <w:rFonts w:ascii="HG丸ｺﾞｼｯｸM-PRO" w:eastAsia="HG丸ｺﾞｼｯｸM-PRO" w:hint="eastAsia"/>
                <w:color w:val="000000" w:themeColor="text1"/>
                <w:sz w:val="16"/>
                <w:szCs w:val="16"/>
              </w:rPr>
              <w:t>■大判のサイズを最大限生かしたデザイン・レイアウト，印刷・造本などにも細かな配慮がされていて，大変効果的である。</w:t>
            </w:r>
          </w:p>
        </w:tc>
      </w:tr>
    </w:tbl>
    <w:p w:rsidR="001F3D3A" w:rsidRPr="000E44E0" w:rsidRDefault="001F3D3A" w:rsidP="001F3D3A">
      <w:pPr>
        <w:widowControl/>
        <w:spacing w:line="200" w:lineRule="exact"/>
        <w:jc w:val="left"/>
        <w:rPr>
          <w:rFonts w:asciiTheme="majorEastAsia" w:eastAsiaTheme="majorEastAsia" w:hAnsiTheme="majorEastAsia"/>
          <w:b/>
          <w:color w:val="000000" w:themeColor="text1"/>
          <w:sz w:val="14"/>
        </w:rPr>
      </w:pPr>
    </w:p>
    <w:p w:rsidR="000E44E0" w:rsidRPr="000E44E0" w:rsidRDefault="000E44E0">
      <w:pPr>
        <w:widowControl/>
        <w:spacing w:line="200" w:lineRule="exact"/>
        <w:jc w:val="left"/>
        <w:rPr>
          <w:rFonts w:asciiTheme="majorEastAsia" w:eastAsiaTheme="majorEastAsia" w:hAnsiTheme="majorEastAsia"/>
          <w:b/>
          <w:color w:val="000000" w:themeColor="text1"/>
          <w:sz w:val="14"/>
        </w:rPr>
      </w:pPr>
    </w:p>
    <w:sectPr w:rsidR="000E44E0" w:rsidRPr="000E44E0" w:rsidSect="000E44E0">
      <w:pgSz w:w="14572" w:h="20639" w:code="12"/>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1C" w:rsidRDefault="00A1261C" w:rsidP="00DD1B94">
      <w:r>
        <w:separator/>
      </w:r>
    </w:p>
  </w:endnote>
  <w:endnote w:type="continuationSeparator" w:id="0">
    <w:p w:rsidR="00A1261C" w:rsidRDefault="00A1261C" w:rsidP="00DD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1C" w:rsidRDefault="00A1261C" w:rsidP="00DD1B94">
      <w:r>
        <w:separator/>
      </w:r>
    </w:p>
  </w:footnote>
  <w:footnote w:type="continuationSeparator" w:id="0">
    <w:p w:rsidR="00A1261C" w:rsidRDefault="00A1261C" w:rsidP="00DD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03E6C"/>
    <w:multiLevelType w:val="hybridMultilevel"/>
    <w:tmpl w:val="6B8C59E2"/>
    <w:lvl w:ilvl="0" w:tplc="D168247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CA62F6"/>
    <w:multiLevelType w:val="hybridMultilevel"/>
    <w:tmpl w:val="D8EA2E76"/>
    <w:lvl w:ilvl="0" w:tplc="9D58BF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F2"/>
    <w:rsid w:val="000113A5"/>
    <w:rsid w:val="0004517E"/>
    <w:rsid w:val="00092217"/>
    <w:rsid w:val="000E44E0"/>
    <w:rsid w:val="001856A2"/>
    <w:rsid w:val="001B17FE"/>
    <w:rsid w:val="001F3D3A"/>
    <w:rsid w:val="002445AC"/>
    <w:rsid w:val="002615A7"/>
    <w:rsid w:val="00274E4E"/>
    <w:rsid w:val="002857EE"/>
    <w:rsid w:val="002A617D"/>
    <w:rsid w:val="002F44A2"/>
    <w:rsid w:val="002F5AF4"/>
    <w:rsid w:val="00392CEF"/>
    <w:rsid w:val="003975EE"/>
    <w:rsid w:val="003A0F4E"/>
    <w:rsid w:val="003A3F3A"/>
    <w:rsid w:val="003C2AAC"/>
    <w:rsid w:val="003F0E00"/>
    <w:rsid w:val="00411E81"/>
    <w:rsid w:val="00413E71"/>
    <w:rsid w:val="00422CD2"/>
    <w:rsid w:val="00454013"/>
    <w:rsid w:val="00490691"/>
    <w:rsid w:val="004B669C"/>
    <w:rsid w:val="005119A2"/>
    <w:rsid w:val="00523AF2"/>
    <w:rsid w:val="00534AE8"/>
    <w:rsid w:val="005A16BE"/>
    <w:rsid w:val="005D3137"/>
    <w:rsid w:val="005E545D"/>
    <w:rsid w:val="00600A3C"/>
    <w:rsid w:val="00654285"/>
    <w:rsid w:val="00667CF6"/>
    <w:rsid w:val="00687553"/>
    <w:rsid w:val="006F26D0"/>
    <w:rsid w:val="007277DF"/>
    <w:rsid w:val="007557AD"/>
    <w:rsid w:val="007F1DBD"/>
    <w:rsid w:val="008155EA"/>
    <w:rsid w:val="00850F47"/>
    <w:rsid w:val="00862260"/>
    <w:rsid w:val="008A496D"/>
    <w:rsid w:val="008B47AB"/>
    <w:rsid w:val="008C099A"/>
    <w:rsid w:val="008C6000"/>
    <w:rsid w:val="008E6002"/>
    <w:rsid w:val="00932BC4"/>
    <w:rsid w:val="009C5D86"/>
    <w:rsid w:val="009F5BBA"/>
    <w:rsid w:val="00A1261C"/>
    <w:rsid w:val="00A17754"/>
    <w:rsid w:val="00AC0E7D"/>
    <w:rsid w:val="00AD645A"/>
    <w:rsid w:val="00AF7EFA"/>
    <w:rsid w:val="00B97D98"/>
    <w:rsid w:val="00BE6D62"/>
    <w:rsid w:val="00CB5378"/>
    <w:rsid w:val="00CE557C"/>
    <w:rsid w:val="00D03742"/>
    <w:rsid w:val="00D16C3E"/>
    <w:rsid w:val="00DD1B94"/>
    <w:rsid w:val="00E6466E"/>
    <w:rsid w:val="00EB0C06"/>
    <w:rsid w:val="00EF62FF"/>
    <w:rsid w:val="00FE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D86B211-D890-4A00-AB1D-207A263C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C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6C3E"/>
    <w:rPr>
      <w:rFonts w:asciiTheme="majorHAnsi" w:eastAsiaTheme="majorEastAsia" w:hAnsiTheme="majorHAnsi" w:cstheme="majorBidi"/>
      <w:sz w:val="18"/>
      <w:szCs w:val="18"/>
    </w:rPr>
  </w:style>
  <w:style w:type="paragraph" w:styleId="a6">
    <w:name w:val="header"/>
    <w:basedOn w:val="a"/>
    <w:link w:val="a7"/>
    <w:uiPriority w:val="99"/>
    <w:unhideWhenUsed/>
    <w:rsid w:val="00DD1B94"/>
    <w:pPr>
      <w:tabs>
        <w:tab w:val="center" w:pos="4252"/>
        <w:tab w:val="right" w:pos="8504"/>
      </w:tabs>
      <w:snapToGrid w:val="0"/>
    </w:pPr>
  </w:style>
  <w:style w:type="character" w:customStyle="1" w:styleId="a7">
    <w:name w:val="ヘッダー (文字)"/>
    <w:basedOn w:val="a0"/>
    <w:link w:val="a6"/>
    <w:uiPriority w:val="99"/>
    <w:rsid w:val="00DD1B94"/>
  </w:style>
  <w:style w:type="paragraph" w:styleId="a8">
    <w:name w:val="footer"/>
    <w:basedOn w:val="a"/>
    <w:link w:val="a9"/>
    <w:uiPriority w:val="99"/>
    <w:unhideWhenUsed/>
    <w:rsid w:val="00DD1B94"/>
    <w:pPr>
      <w:tabs>
        <w:tab w:val="center" w:pos="4252"/>
        <w:tab w:val="right" w:pos="8504"/>
      </w:tabs>
      <w:snapToGrid w:val="0"/>
    </w:pPr>
  </w:style>
  <w:style w:type="character" w:customStyle="1" w:styleId="a9">
    <w:name w:val="フッター (文字)"/>
    <w:basedOn w:val="a0"/>
    <w:link w:val="a8"/>
    <w:uiPriority w:val="99"/>
    <w:rsid w:val="00DD1B94"/>
  </w:style>
  <w:style w:type="paragraph" w:styleId="aa">
    <w:name w:val="List Paragraph"/>
    <w:basedOn w:val="a"/>
    <w:uiPriority w:val="34"/>
    <w:qFormat/>
    <w:rsid w:val="00511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3hen</cp:lastModifiedBy>
  <cp:revision>2</cp:revision>
  <cp:lastPrinted>2016-06-06T11:36:00Z</cp:lastPrinted>
  <dcterms:created xsi:type="dcterms:W3CDTF">2016-06-06T11:41:00Z</dcterms:created>
  <dcterms:modified xsi:type="dcterms:W3CDTF">2016-06-06T11:41:00Z</dcterms:modified>
</cp:coreProperties>
</file>